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329B3" w14:textId="77777777" w:rsidR="001A67EA" w:rsidRPr="00DC2FE9" w:rsidRDefault="001A67EA" w:rsidP="001A67EA">
      <w:pPr>
        <w:pStyle w:val="Annexetitre"/>
        <w:spacing w:before="0"/>
      </w:pPr>
      <w:r w:rsidRPr="00DC2FE9">
        <w:t>ПРИЛОЖЕНИЕ XVIII — Оповестяване на използването на техники за редуциране на кредитния риск</w:t>
      </w:r>
    </w:p>
    <w:p w14:paraId="180377CB" w14:textId="77777777" w:rsidR="001A67EA" w:rsidRPr="00DC2FE9" w:rsidRDefault="001A67EA" w:rsidP="001A67EA">
      <w:pPr>
        <w:spacing w:after="120"/>
        <w:rPr>
          <w:rFonts w:ascii="Times New Roman" w:hAnsi="Times New Roman" w:cs="Times New Roman"/>
          <w:sz w:val="24"/>
        </w:rPr>
      </w:pPr>
    </w:p>
    <w:p w14:paraId="58177053" w14:textId="77777777" w:rsidR="001A67EA" w:rsidRPr="00DC2FE9" w:rsidRDefault="001A67EA" w:rsidP="001A67EA">
      <w:pPr>
        <w:spacing w:after="120"/>
        <w:rPr>
          <w:rFonts w:ascii="Times New Roman" w:hAnsi="Times New Roman"/>
          <w:sz w:val="24"/>
        </w:rPr>
      </w:pPr>
      <w:r w:rsidRPr="00DC2FE9">
        <w:rPr>
          <w:rFonts w:ascii="Times New Roman" w:hAnsi="Times New Roman"/>
          <w:b/>
          <w:sz w:val="24"/>
        </w:rPr>
        <w:t>Таблица EU CRC — Изисквания за оповестяване на качествена информация за техниките за редуциране на кредитния риск Таблица без зададен формат</w:t>
      </w:r>
    </w:p>
    <w:p w14:paraId="163D083B" w14:textId="60F05672" w:rsidR="001A67EA" w:rsidRPr="00DC2FE9" w:rsidRDefault="001A67EA" w:rsidP="001A67EA">
      <w:pPr>
        <w:spacing w:after="120"/>
        <w:jc w:val="both"/>
        <w:rPr>
          <w:rFonts w:ascii="Times New Roman" w:hAnsi="Times New Roman" w:cs="Times New Roman"/>
          <w:sz w:val="24"/>
        </w:rPr>
      </w:pPr>
      <w:r w:rsidRPr="00DC2FE9">
        <w:rPr>
          <w:rFonts w:ascii="Times New Roman" w:hAnsi="Times New Roman"/>
          <w:sz w:val="24"/>
        </w:rPr>
        <w:t>Институциите оповестяват информацията, посочена в член 453, букви а) — д) от Регламент (ЕС) № 575/2013</w:t>
      </w:r>
      <w:r w:rsidRPr="00DC2FE9">
        <w:rPr>
          <w:rStyle w:val="FootnoteReference"/>
          <w:rFonts w:ascii="Times New Roman" w:hAnsi="Times New Roman" w:cs="Times New Roman"/>
          <w:sz w:val="24"/>
        </w:rPr>
        <w:footnoteReference w:id="1"/>
      </w:r>
      <w:r w:rsidRPr="00DC2FE9">
        <w:rPr>
          <w:rFonts w:ascii="Times New Roman" w:hAnsi="Times New Roman"/>
          <w:sz w:val="24"/>
        </w:rPr>
        <w:t xml:space="preserve"> („РКИ“), като попълват таблица EU CRC от приложение XVII към ИТ решенията на ЕБО, следвайки изложените по-долу в настоящото приложение указания.</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DC2FE9" w14:paraId="4AD1712D"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E717E60" w14:textId="77777777" w:rsidR="001A67EA" w:rsidRPr="00DC2FE9" w:rsidRDefault="001A67EA" w:rsidP="004F3087">
            <w:pPr>
              <w:autoSpaceDE w:val="0"/>
              <w:autoSpaceDN w:val="0"/>
              <w:adjustRightInd w:val="0"/>
              <w:spacing w:after="120"/>
              <w:rPr>
                <w:rFonts w:ascii="Times New Roman" w:hAnsi="Times New Roman" w:cs="Times New Roman"/>
                <w:b/>
                <w:sz w:val="24"/>
              </w:rPr>
            </w:pPr>
            <w:r w:rsidRPr="00DC2FE9">
              <w:rPr>
                <w:rFonts w:ascii="Times New Roman" w:hAnsi="Times New Roman"/>
                <w:b/>
                <w:sz w:val="24"/>
              </w:rPr>
              <w:t>Ред</w:t>
            </w:r>
          </w:p>
          <w:p w14:paraId="2309F288" w14:textId="77777777" w:rsidR="001A67EA" w:rsidRPr="00DC2FE9"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FAA1416"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Препратки към нормативни актове и указания</w:t>
            </w:r>
          </w:p>
        </w:tc>
      </w:tr>
      <w:tr w:rsidR="001A67EA" w:rsidRPr="00DC2FE9" w14:paraId="60B868A1"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5FEF9560" w14:textId="77777777" w:rsidR="001A67EA" w:rsidRPr="00DC2FE9"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05426F67"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Обяснение</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79"/>
        <w:gridCol w:w="1041"/>
        <w:gridCol w:w="6652"/>
      </w:tblGrid>
      <w:tr w:rsidR="001A67EA" w:rsidRPr="00DC2FE9" w14:paraId="6046C957"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40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1D92DAC2"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color w:val="000000"/>
                <w:sz w:val="24"/>
                <w:lang w:val="bg-BG"/>
              </w:rPr>
              <w:t>а)</w:t>
            </w:r>
          </w:p>
        </w:tc>
        <w:tc>
          <w:tcPr>
            <w:tcW w:w="88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25DEF807"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Член 453, буква а) от РКИ</w:t>
            </w:r>
          </w:p>
        </w:tc>
        <w:tc>
          <w:tcPr>
            <w:tcW w:w="6782"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5DDFD2E"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Когато в изпълнение на член 453, буква а) от РКИ институциите оповестяват информация за своите политики за нетиране и за използването на нетирането, те ясно описват своите политики и процеси за редуциране на кредитния риск при балансовото и задбалансовото нетиране, както и при рамковите споразумения за нетиране. Те също така посочват доколко са използвали балансово и задбалансово нетиране, както и рамкови споразумения за нетиране, и описват тяхното значение за управлението на кредитния риск. Институциите могат в частност да опишат подробно използваните техники, позициите, обхванати от споразуменията за балансово нетиране, и финансовите инструменти, включени в рамковите споразумения за нетиране. Могат да се посочат и условията за осигуряване на ефективност на тези техники, както и въведените контролни механизми във връзка с правния риск.</w:t>
            </w:r>
          </w:p>
        </w:tc>
      </w:tr>
      <w:tr w:rsidR="001A67EA" w:rsidRPr="00DC2FE9" w14:paraId="088E4178" w14:textId="77777777" w:rsidTr="004F3087">
        <w:trPr>
          <w:trHeight w:val="841"/>
        </w:trPr>
        <w:tc>
          <w:tcPr>
            <w:tcW w:w="1407" w:type="dxa"/>
          </w:tcPr>
          <w:p w14:paraId="16A703B9"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color w:val="000000"/>
                <w:sz w:val="24"/>
                <w:lang w:val="bg-BG"/>
              </w:rPr>
              <w:t>б)</w:t>
            </w:r>
          </w:p>
        </w:tc>
        <w:tc>
          <w:tcPr>
            <w:tcW w:w="883" w:type="dxa"/>
          </w:tcPr>
          <w:p w14:paraId="20468003" w14:textId="77777777" w:rsidR="001A67EA" w:rsidRPr="00DC2FE9" w:rsidRDefault="001A67EA" w:rsidP="004F3087">
            <w:pPr>
              <w:spacing w:after="120"/>
              <w:jc w:val="both"/>
              <w:rPr>
                <w:rFonts w:ascii="Times New Roman" w:eastAsia="Times New Roman" w:hAnsi="Times New Roman" w:cs="Times New Roman"/>
                <w:iCs/>
                <w:sz w:val="24"/>
                <w:lang w:val="bg-BG"/>
              </w:rPr>
            </w:pPr>
            <w:r w:rsidRPr="00DC2FE9">
              <w:rPr>
                <w:rFonts w:ascii="Times New Roman" w:hAnsi="Times New Roman"/>
                <w:sz w:val="24"/>
                <w:lang w:val="bg-BG"/>
              </w:rPr>
              <w:t>Член 453, буква б)</w:t>
            </w:r>
          </w:p>
          <w:p w14:paraId="4BA9C895"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РКИ</w:t>
            </w:r>
          </w:p>
        </w:tc>
        <w:tc>
          <w:tcPr>
            <w:tcW w:w="6782" w:type="dxa"/>
          </w:tcPr>
          <w:p w14:paraId="4B80DFA2"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Като част от предоставяните в изпълнение на член 453, буква б) от РКИ сведения за основните характеристики на своите политики и процеси за оценяване и управление на приемливите обезпечения институциите оповестяват:</w:t>
            </w:r>
          </w:p>
          <w:p w14:paraId="2A102C16"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базата за оценката на предоставеното обезпечение, в т.ч. на правната сигурност на техниките за редуциране на кредитния риск;</w:t>
            </w:r>
          </w:p>
          <w:p w14:paraId="4978007D"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вида на оценката (пазарна стойност, ипотечна заемна стойност, други видове стойности);</w:t>
            </w:r>
          </w:p>
          <w:p w14:paraId="1BB7939A"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степента, в която с процентно намаление се редуцира изчислената стойност на обезпечението;</w:t>
            </w:r>
          </w:p>
          <w:p w14:paraId="6CA64CC4"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въведените процеси, честота и методи за наблюдение на стойността на обезпеченията по ипотечни кредити и на другите обезпечения с физически активи.</w:t>
            </w:r>
          </w:p>
          <w:p w14:paraId="42DBE288"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lastRenderedPageBreak/>
              <w:t>В допълнение институциите могат да оповестят и дали е въведен механизъм за ограничаване на кредитните експозиции, както и отражението на приетите обезпечения върху количественото определяне на тези граници.</w:t>
            </w:r>
          </w:p>
        </w:tc>
      </w:tr>
      <w:tr w:rsidR="001A67EA" w:rsidRPr="00DC2FE9" w:rsidDel="00915DC9" w14:paraId="3A5626B8" w14:textId="77777777" w:rsidTr="004F3087">
        <w:trPr>
          <w:trHeight w:val="973"/>
        </w:trPr>
        <w:tc>
          <w:tcPr>
            <w:tcW w:w="1407" w:type="dxa"/>
          </w:tcPr>
          <w:p w14:paraId="547245B3"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color w:val="000000"/>
                <w:sz w:val="24"/>
                <w:lang w:val="bg-BG"/>
              </w:rPr>
              <w:lastRenderedPageBreak/>
              <w:t>в)</w:t>
            </w:r>
          </w:p>
        </w:tc>
        <w:tc>
          <w:tcPr>
            <w:tcW w:w="883" w:type="dxa"/>
          </w:tcPr>
          <w:p w14:paraId="3EE8CB34"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Член 453, буква в) от РКИ</w:t>
            </w:r>
          </w:p>
        </w:tc>
        <w:tc>
          <w:tcPr>
            <w:tcW w:w="6782" w:type="dxa"/>
          </w:tcPr>
          <w:p w14:paraId="03C8684E" w14:textId="77777777" w:rsidR="001A67EA" w:rsidRPr="00DC2FE9" w:rsidDel="00915DC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Когато в изпълнение на член 453, буква в) от РКИ институциите описват приетото обезпечение, те подробно описват по видове експозиции основните видове обезпечения, приети с цел редуциране на кредитния риск.</w:t>
            </w:r>
          </w:p>
        </w:tc>
      </w:tr>
      <w:tr w:rsidR="001A67EA" w:rsidRPr="00DC2FE9" w14:paraId="0B958E6C" w14:textId="77777777" w:rsidTr="004F3087">
        <w:trPr>
          <w:trHeight w:val="1265"/>
        </w:trPr>
        <w:tc>
          <w:tcPr>
            <w:tcW w:w="1407" w:type="dxa"/>
          </w:tcPr>
          <w:p w14:paraId="16182508"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color w:val="000000"/>
                <w:sz w:val="24"/>
                <w:lang w:val="bg-BG"/>
              </w:rPr>
              <w:t>г)</w:t>
            </w:r>
          </w:p>
        </w:tc>
        <w:tc>
          <w:tcPr>
            <w:tcW w:w="883" w:type="dxa"/>
          </w:tcPr>
          <w:p w14:paraId="3751629F"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Член 453, буква г) от РКИ</w:t>
            </w:r>
          </w:p>
        </w:tc>
        <w:tc>
          <w:tcPr>
            <w:tcW w:w="6782" w:type="dxa"/>
          </w:tcPr>
          <w:p w14:paraId="484148E0"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xml:space="preserve">Когато в изпълнение на член 453, буква г) от РКИ институциите посочват основните видове гаранти и контрагенти по кредитни деривати и тяхната кредитоспособност, предоставяните сведения обхващат кредитните деривати, използвани с цел намаляване на капиталовите изисквания, с изключение на използваните като част от структури на синтетична секюритизация. Институциите могат също така да опишат и използваните методи за признаване на ефекта на гаранциите или кредитните деривати, предоставени от основните видове гаранти и контрагенти. </w:t>
            </w:r>
          </w:p>
        </w:tc>
      </w:tr>
      <w:tr w:rsidR="001A67EA" w:rsidRPr="00DC2FE9" w14:paraId="45D6C7FC" w14:textId="77777777" w:rsidTr="004F3087">
        <w:trPr>
          <w:trHeight w:val="1405"/>
        </w:trPr>
        <w:tc>
          <w:tcPr>
            <w:tcW w:w="1407" w:type="dxa"/>
          </w:tcPr>
          <w:p w14:paraId="03857EEF"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color w:val="000000"/>
                <w:sz w:val="24"/>
                <w:lang w:val="bg-BG"/>
              </w:rPr>
              <w:t>д)</w:t>
            </w:r>
          </w:p>
        </w:tc>
        <w:tc>
          <w:tcPr>
            <w:tcW w:w="883" w:type="dxa"/>
          </w:tcPr>
          <w:p w14:paraId="3363450E"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Член 453, буква д) от РКИ</w:t>
            </w:r>
          </w:p>
        </w:tc>
        <w:tc>
          <w:tcPr>
            <w:tcW w:w="6782" w:type="dxa"/>
          </w:tcPr>
          <w:p w14:paraId="025D06B4"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Когато в изпълнение на член 453, буква д) от РКИ институциите оповестяват информация за концентрациите на пазарен или кредитен риск в рамките на извършеното редуциране на кредитния риск, те предоставят анализ на всяка концентрация, която възниква в резултат на мерките за редуциране на кредитния риск и може да снижи ефективността на инструментите за редуциране на кредитния риск. Концентрациите, обхванати от тези оповестявания, биха могли да се подредят според вида на използвания за обезпечение инструмент, субекта (концентрация по категория гаранти и доставчици на кредитни деривати), сектора, географския район, паричната единица, рейтинга или други фактори, които имат потенциално въздействие върху стойността на защитата и оттам — я намаляват.</w:t>
            </w:r>
          </w:p>
        </w:tc>
      </w:tr>
    </w:tbl>
    <w:p w14:paraId="5BC2E8E9" w14:textId="77777777" w:rsidR="001A67EA" w:rsidRPr="00DC2FE9" w:rsidRDefault="001A67EA" w:rsidP="001A67EA">
      <w:pPr>
        <w:spacing w:after="120"/>
        <w:rPr>
          <w:rFonts w:ascii="Times New Roman" w:hAnsi="Times New Roman" w:cs="Times New Roman"/>
          <w:sz w:val="24"/>
        </w:rPr>
      </w:pPr>
    </w:p>
    <w:p w14:paraId="5F6E25BC" w14:textId="77777777" w:rsidR="001A67EA" w:rsidRPr="00DC2FE9" w:rsidRDefault="001A67EA" w:rsidP="001A67EA">
      <w:pPr>
        <w:spacing w:after="120"/>
        <w:rPr>
          <w:rFonts w:ascii="Times New Roman" w:hAnsi="Times New Roman" w:cs="Times New Roman"/>
          <w:b/>
          <w:sz w:val="24"/>
        </w:rPr>
      </w:pPr>
      <w:r w:rsidRPr="00DC2FE9">
        <w:rPr>
          <w:rFonts w:ascii="Times New Roman" w:hAnsi="Times New Roman"/>
          <w:b/>
          <w:sz w:val="24"/>
        </w:rPr>
        <w:t>Образец EU CR3 — Обзор на техниките за редуциране на кредитния риск: оповестяване на използването на техники за редуциране на кредитния риск. Образецът е със зададен формат.</w:t>
      </w:r>
    </w:p>
    <w:p w14:paraId="1FAA7723" w14:textId="68D7787E" w:rsidR="001A67EA" w:rsidRPr="00DC2FE9" w:rsidRDefault="001A67EA" w:rsidP="001A67EA">
      <w:pPr>
        <w:spacing w:after="120"/>
        <w:jc w:val="both"/>
        <w:rPr>
          <w:rFonts w:ascii="Times New Roman" w:hAnsi="Times New Roman" w:cs="Times New Roman"/>
          <w:sz w:val="24"/>
        </w:rPr>
      </w:pPr>
      <w:r w:rsidRPr="00DC2FE9">
        <w:rPr>
          <w:rFonts w:ascii="Times New Roman" w:hAnsi="Times New Roman"/>
          <w:sz w:val="24"/>
        </w:rPr>
        <w:t xml:space="preserve">Институциите оповестяват информацията, посочена в член 453, буква е) от РКИ, като попълват образец EU CR3 от приложение XVII към настоящия регламент за изпълнение, следвайки изложените </w:t>
      </w:r>
      <w:r w:rsidR="00DC2FE9">
        <w:rPr>
          <w:rFonts w:ascii="Times New Roman" w:hAnsi="Times New Roman"/>
          <w:sz w:val="24"/>
        </w:rPr>
        <w:t xml:space="preserve">по-долу </w:t>
      </w:r>
      <w:r w:rsidRPr="00DC2FE9">
        <w:rPr>
          <w:rFonts w:ascii="Times New Roman" w:hAnsi="Times New Roman"/>
          <w:sz w:val="24"/>
        </w:rPr>
        <w:t>в настоящото приложение указания.</w:t>
      </w:r>
    </w:p>
    <w:p w14:paraId="69A94B62" w14:textId="77777777" w:rsidR="001A67EA" w:rsidRPr="00DC2FE9" w:rsidRDefault="001A67EA" w:rsidP="001A67EA">
      <w:pPr>
        <w:spacing w:after="120"/>
        <w:jc w:val="both"/>
        <w:rPr>
          <w:rFonts w:ascii="Times New Roman" w:eastAsia="Times New Roman" w:hAnsi="Times New Roman" w:cs="Times New Roman"/>
          <w:b/>
          <w:iCs/>
          <w:sz w:val="24"/>
        </w:rPr>
      </w:pPr>
      <w:r w:rsidRPr="00DC2FE9">
        <w:rPr>
          <w:rFonts w:ascii="Times New Roman" w:hAnsi="Times New Roman"/>
          <w:sz w:val="24"/>
        </w:rPr>
        <w:t xml:space="preserve">Настоящият образец обхваща всички техники за редуциране на кредитния риск, признати съгласно приложимата счетоводна рамка, независимо дали са признати съгласно РКИ, включително, но не само, всички видове обезпечения, финансови гаранции и кредитни деривати, използвани за всички обезпечени експозиции, независимо дали рисково претеглената стойност на експозициите се изчислява по стандартизирания подход или по вътрешнорейтинговия подход. Институциите допълват </w:t>
      </w:r>
      <w:r w:rsidRPr="00DC2FE9">
        <w:rPr>
          <w:rFonts w:ascii="Times New Roman" w:hAnsi="Times New Roman"/>
          <w:sz w:val="24"/>
        </w:rPr>
        <w:lastRenderedPageBreak/>
        <w:t>информацията в образеца с разяснение на всички съществени промени, настъпили през периода на оповестяване, и на основните причини за тези промени.</w:t>
      </w:r>
    </w:p>
    <w:p w14:paraId="1EBDEE5B" w14:textId="77777777" w:rsidR="001A67EA" w:rsidRPr="00DC2FE9" w:rsidRDefault="001A67EA" w:rsidP="001A67EA">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1A67EA" w:rsidRPr="00DC2FE9" w14:paraId="3A73F47C"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76DE748" w14:textId="77777777" w:rsidR="001A67EA" w:rsidRPr="00DC2FE9" w:rsidRDefault="001A67EA" w:rsidP="004F3087">
            <w:pPr>
              <w:autoSpaceDE w:val="0"/>
              <w:autoSpaceDN w:val="0"/>
              <w:adjustRightInd w:val="0"/>
              <w:spacing w:after="120"/>
              <w:rPr>
                <w:rFonts w:ascii="Times New Roman" w:hAnsi="Times New Roman" w:cs="Times New Roman"/>
                <w:b/>
                <w:sz w:val="24"/>
              </w:rPr>
            </w:pPr>
            <w:r w:rsidRPr="00DC2FE9">
              <w:rPr>
                <w:rFonts w:ascii="Times New Roman" w:hAnsi="Times New Roman"/>
                <w:b/>
                <w:sz w:val="24"/>
              </w:rPr>
              <w:t>Колона</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4E4EA746"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Препратки към нормативни актове и указания</w:t>
            </w:r>
          </w:p>
        </w:tc>
      </w:tr>
      <w:tr w:rsidR="001A67EA" w:rsidRPr="00DC2FE9" w14:paraId="583C89A3"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0D76FA8A" w14:textId="77777777" w:rsidR="001A67EA" w:rsidRPr="00DC2FE9" w:rsidRDefault="001A67EA"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28762A2B"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Обяснение</w:t>
            </w:r>
          </w:p>
        </w:tc>
      </w:tr>
      <w:tr w:rsidR="001A67EA" w:rsidRPr="00DC2FE9" w14:paraId="35223F05" w14:textId="77777777" w:rsidTr="004F3087">
        <w:trPr>
          <w:trHeight w:val="316"/>
        </w:trPr>
        <w:tc>
          <w:tcPr>
            <w:tcW w:w="1413" w:type="dxa"/>
          </w:tcPr>
          <w:p w14:paraId="25792023"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a</w:t>
            </w:r>
          </w:p>
        </w:tc>
        <w:tc>
          <w:tcPr>
            <w:tcW w:w="7654" w:type="dxa"/>
          </w:tcPr>
          <w:p w14:paraId="32D2A419"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b/>
                <w:iCs/>
                <w:sz w:val="24"/>
              </w:rPr>
            </w:pPr>
            <w:r w:rsidRPr="00DC2FE9">
              <w:rPr>
                <w:rFonts w:ascii="Times New Roman" w:hAnsi="Times New Roman"/>
                <w:b/>
                <w:sz w:val="24"/>
              </w:rPr>
              <w:t xml:space="preserve">Необезпечена балансова стойност: </w:t>
            </w:r>
          </w:p>
          <w:p w14:paraId="55EE3490"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t xml:space="preserve">Балансовата стойност на експозициите (с приспаднати провизии/обезценки), спрямо които не е приложена никаква техника за редуциране на кредитния риск, независимо дали тази техника е призната съгласно РКИ </w:t>
            </w:r>
          </w:p>
          <w:p w14:paraId="2E635E37"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Тя по-специално се отнася до експозициите, за които не е предоставено обезпечение, нито са получени финансови гаранции. В нея не се включва необезпечената част на частично обезпечена или частично гарантирана експозиция.</w:t>
            </w:r>
          </w:p>
        </w:tc>
      </w:tr>
      <w:tr w:rsidR="001A67EA" w:rsidRPr="00DC2FE9" w14:paraId="475E6E51" w14:textId="77777777" w:rsidTr="004F3087">
        <w:trPr>
          <w:trHeight w:val="316"/>
        </w:trPr>
        <w:tc>
          <w:tcPr>
            <w:tcW w:w="1413" w:type="dxa"/>
          </w:tcPr>
          <w:p w14:paraId="7DD870E3"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б</w:t>
            </w:r>
          </w:p>
        </w:tc>
        <w:tc>
          <w:tcPr>
            <w:tcW w:w="7654" w:type="dxa"/>
          </w:tcPr>
          <w:p w14:paraId="736FBF01"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b/>
                <w:iCs/>
                <w:sz w:val="24"/>
              </w:rPr>
            </w:pPr>
            <w:r w:rsidRPr="00DC2FE9">
              <w:rPr>
                <w:rFonts w:ascii="Times New Roman" w:hAnsi="Times New Roman"/>
                <w:b/>
                <w:sz w:val="24"/>
              </w:rPr>
              <w:t xml:space="preserve">Обезпечена балансова стойност: </w:t>
            </w:r>
          </w:p>
          <w:p w14:paraId="20FF8406"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t>Балансовата стойност на експозициите, спрямо които е приложена поне една техника за редуциране на кредитния риск (обезпечение, финансови гаранции, кредитни деривати).</w:t>
            </w:r>
          </w:p>
          <w:p w14:paraId="05789AFF"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t>Ако стойността на обезпечаващите дадена експозиция обезпечения, финансови гаранции и кредитни деривати надхвърля балансовата ѝ стойност, тук се включва само стойността до балансовата стойност на тази експозиция. Ако балансовата стойност на дадена експозиция надхвърля стойността на обезпечаващите я обезпечения, финансови гаранции и кредитни деривати, тук се включва пълната балансова стойност на тази експозиция.</w:t>
            </w:r>
          </w:p>
          <w:p w14:paraId="7EDEE0AE"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 xml:space="preserve">За целите на следващите колони „в“, „г“ и „д“, отнасянето на балансовата стойност на многостранно обезпечените експозиции към различните им техники за редуциране на кредитния риск се извършва в порядък, като се започне с техниката за редуциране на кредитния риск, която се очаква първа да бъде използвана в случай на неплащане, и в рамките на балансовата стойност на обезпечените експозиции. Всяка част от експозицията се включва само в една от колони „в“, „г“ или „д“ на настоящия образец. </w:t>
            </w:r>
          </w:p>
        </w:tc>
      </w:tr>
      <w:tr w:rsidR="001A67EA" w:rsidRPr="00DC2FE9" w14:paraId="37B3496C" w14:textId="77777777" w:rsidTr="004F3087">
        <w:trPr>
          <w:trHeight w:val="316"/>
        </w:trPr>
        <w:tc>
          <w:tcPr>
            <w:tcW w:w="1413" w:type="dxa"/>
          </w:tcPr>
          <w:p w14:paraId="0CBB040D"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в</w:t>
            </w:r>
          </w:p>
        </w:tc>
        <w:tc>
          <w:tcPr>
            <w:tcW w:w="7654" w:type="dxa"/>
          </w:tcPr>
          <w:p w14:paraId="7D972C67"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b/>
                <w:iCs/>
                <w:sz w:val="24"/>
              </w:rPr>
            </w:pPr>
            <w:r w:rsidRPr="00DC2FE9">
              <w:rPr>
                <w:rFonts w:ascii="Times New Roman" w:hAnsi="Times New Roman"/>
                <w:b/>
                <w:sz w:val="24"/>
              </w:rPr>
              <w:t xml:space="preserve">В т.ч. обезпечени с обезпечение: </w:t>
            </w:r>
          </w:p>
          <w:p w14:paraId="2B8F68C6"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t>Това е подгрупа на колона „б“ на настоящия образец и представлява балансовата стойност на обезпечените с обезпечение експозиции (с приспаднати провизии/обезценки) или части от експозиции. Ако дадена експозиция е обезпечена с обезпечение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обезпечение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w:t>
            </w:r>
          </w:p>
        </w:tc>
      </w:tr>
      <w:tr w:rsidR="001A67EA" w:rsidRPr="00DC2FE9" w14:paraId="50B32400" w14:textId="77777777" w:rsidTr="004F3087">
        <w:trPr>
          <w:trHeight w:val="316"/>
        </w:trPr>
        <w:tc>
          <w:tcPr>
            <w:tcW w:w="1413" w:type="dxa"/>
          </w:tcPr>
          <w:p w14:paraId="741497BC"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t>г</w:t>
            </w:r>
          </w:p>
        </w:tc>
        <w:tc>
          <w:tcPr>
            <w:tcW w:w="7654" w:type="dxa"/>
          </w:tcPr>
          <w:p w14:paraId="550E0FE4"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b/>
                <w:iCs/>
                <w:sz w:val="24"/>
              </w:rPr>
            </w:pPr>
            <w:r w:rsidRPr="00DC2FE9">
              <w:rPr>
                <w:rFonts w:ascii="Times New Roman" w:hAnsi="Times New Roman"/>
                <w:b/>
                <w:sz w:val="24"/>
              </w:rPr>
              <w:t xml:space="preserve">В т.ч. обезпечени с финансови гаранции: </w:t>
            </w:r>
          </w:p>
          <w:p w14:paraId="17847CC4"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lastRenderedPageBreak/>
              <w:t>Това е подгрупа на колона „б“ на настоящия образец и представлява балансовата стойност на обезпечените с гаранции експозиции (с приспаднати провизии/обезценки) или части от експозиции. Ако дадена експозиция е обезпечена с гаранции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гаранции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w:t>
            </w:r>
          </w:p>
        </w:tc>
      </w:tr>
      <w:tr w:rsidR="001A67EA" w:rsidRPr="00DC2FE9" w14:paraId="674417F3" w14:textId="77777777" w:rsidTr="004F3087">
        <w:trPr>
          <w:trHeight w:val="316"/>
        </w:trPr>
        <w:tc>
          <w:tcPr>
            <w:tcW w:w="1413" w:type="dxa"/>
          </w:tcPr>
          <w:p w14:paraId="0378E1B4"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sz w:val="24"/>
              </w:rPr>
            </w:pPr>
            <w:r w:rsidRPr="00DC2FE9">
              <w:rPr>
                <w:rFonts w:ascii="Times New Roman" w:hAnsi="Times New Roman"/>
                <w:sz w:val="24"/>
              </w:rPr>
              <w:lastRenderedPageBreak/>
              <w:t>д</w:t>
            </w:r>
          </w:p>
        </w:tc>
        <w:tc>
          <w:tcPr>
            <w:tcW w:w="7654" w:type="dxa"/>
          </w:tcPr>
          <w:p w14:paraId="4F7777BA"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b/>
                <w:iCs/>
                <w:sz w:val="24"/>
              </w:rPr>
            </w:pPr>
            <w:r w:rsidRPr="00DC2FE9">
              <w:rPr>
                <w:rFonts w:ascii="Times New Roman" w:hAnsi="Times New Roman"/>
                <w:b/>
                <w:sz w:val="24"/>
              </w:rPr>
              <w:t xml:space="preserve">В т.ч. обезпечени с кредитни деривати: </w:t>
            </w:r>
          </w:p>
          <w:p w14:paraId="35390365" w14:textId="77777777" w:rsidR="001A67EA" w:rsidRPr="00DC2FE9" w:rsidRDefault="001A67EA" w:rsidP="004F3087">
            <w:pPr>
              <w:autoSpaceDE w:val="0"/>
              <w:autoSpaceDN w:val="0"/>
              <w:adjustRightInd w:val="0"/>
              <w:spacing w:after="120"/>
              <w:jc w:val="both"/>
              <w:rPr>
                <w:rFonts w:ascii="Times New Roman" w:eastAsia="Times New Roman" w:hAnsi="Times New Roman" w:cs="Times New Roman"/>
                <w:iCs/>
                <w:sz w:val="24"/>
              </w:rPr>
            </w:pPr>
            <w:r w:rsidRPr="00DC2FE9">
              <w:rPr>
                <w:rFonts w:ascii="Times New Roman" w:hAnsi="Times New Roman"/>
                <w:sz w:val="24"/>
              </w:rPr>
              <w:t xml:space="preserve">Това е подгрупа на колона „г“ (финансови гаранции) на настоящия образец и представлява балансовата стойност на обезпечените с кредитни деривати експозиции (с приспаднати провизии/обезценки) или части от експозиции. Ако дадена експозиция е обезпечена с кредитни деривати и други техники за редуциране на кредитния риск, които се очаква да бъдат използвани най-напред в случай на неплащане, балансовата стойност на обезпечената с кредитни деривати експозиция е тази нейна част, която остава, след като се вземат предвид нейните части, които вече са обезпечени до балансовата ѝ стойност с други техники за редуциране на риска. </w:t>
            </w:r>
          </w:p>
        </w:tc>
      </w:tr>
    </w:tbl>
    <w:p w14:paraId="3A57B273" w14:textId="77777777" w:rsidR="001A67EA" w:rsidRPr="00DC2FE9" w:rsidRDefault="001A67EA" w:rsidP="001A67EA">
      <w:pPr>
        <w:spacing w:after="120"/>
        <w:rPr>
          <w:rFonts w:ascii="Times New Roman" w:hAnsi="Times New Roman" w:cs="Times New Roman"/>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1A67EA" w:rsidRPr="00DC2FE9" w14:paraId="4ED59B80" w14:textId="77777777" w:rsidTr="004F3087">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5165B234" w14:textId="77777777" w:rsidR="001A67EA" w:rsidRPr="00DC2FE9" w:rsidRDefault="001A67EA" w:rsidP="004F3087">
            <w:pPr>
              <w:autoSpaceDE w:val="0"/>
              <w:autoSpaceDN w:val="0"/>
              <w:adjustRightInd w:val="0"/>
              <w:spacing w:after="120"/>
              <w:rPr>
                <w:rFonts w:ascii="Times New Roman" w:hAnsi="Times New Roman" w:cs="Times New Roman"/>
                <w:b/>
                <w:sz w:val="24"/>
              </w:rPr>
            </w:pPr>
            <w:r w:rsidRPr="00DC2FE9">
              <w:rPr>
                <w:rFonts w:ascii="Times New Roman" w:hAnsi="Times New Roman"/>
                <w:b/>
                <w:sz w:val="24"/>
              </w:rPr>
              <w:t>Ред</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5725938"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Препратки към нормативни актове и указания</w:t>
            </w:r>
          </w:p>
        </w:tc>
      </w:tr>
      <w:tr w:rsidR="001A67EA" w:rsidRPr="00DC2FE9" w14:paraId="2D299A07" w14:textId="77777777" w:rsidTr="004F3087">
        <w:trPr>
          <w:trHeight w:val="420"/>
        </w:trPr>
        <w:tc>
          <w:tcPr>
            <w:tcW w:w="1381" w:type="dxa"/>
            <w:vMerge/>
            <w:tcBorders>
              <w:left w:val="single" w:sz="4" w:space="0" w:color="auto"/>
              <w:right w:val="single" w:sz="4" w:space="0" w:color="auto"/>
            </w:tcBorders>
            <w:shd w:val="clear" w:color="auto" w:fill="D9D9D9" w:themeFill="background1" w:themeFillShade="D9"/>
          </w:tcPr>
          <w:p w14:paraId="73BB5563" w14:textId="77777777" w:rsidR="001A67EA" w:rsidRPr="00DC2FE9" w:rsidRDefault="001A67EA" w:rsidP="004F3087">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74C7B9A3" w14:textId="77777777" w:rsidR="001A67EA" w:rsidRPr="00DC2FE9" w:rsidRDefault="001A67EA" w:rsidP="004F3087">
            <w:pPr>
              <w:spacing w:after="120"/>
              <w:rPr>
                <w:rFonts w:ascii="Times New Roman" w:hAnsi="Times New Roman" w:cs="Times New Roman"/>
                <w:b/>
                <w:sz w:val="24"/>
              </w:rPr>
            </w:pPr>
            <w:r w:rsidRPr="00DC2FE9">
              <w:rPr>
                <w:rFonts w:ascii="Times New Roman" w:hAnsi="Times New Roman"/>
                <w:b/>
                <w:sz w:val="24"/>
              </w:rPr>
              <w:t>Обяснение</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8266"/>
      </w:tblGrid>
      <w:tr w:rsidR="001A67EA" w:rsidRPr="00DC2FE9" w14:paraId="67790BED" w14:textId="77777777" w:rsidTr="004F3087">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3006C31B"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 xml:space="preserve">1 </w:t>
            </w:r>
          </w:p>
        </w:tc>
        <w:tc>
          <w:tcPr>
            <w:tcW w:w="8266"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0E779E01" w14:textId="77777777" w:rsidR="001A67EA" w:rsidRPr="00DC2FE9" w:rsidRDefault="001A67EA" w:rsidP="004F3087">
            <w:pPr>
              <w:spacing w:after="120"/>
              <w:jc w:val="both"/>
              <w:rPr>
                <w:rFonts w:ascii="Times New Roman" w:hAnsi="Times New Roman" w:cs="Times New Roman"/>
                <w:b/>
                <w:sz w:val="24"/>
                <w:u w:val="single"/>
                <w:lang w:val="bg-BG"/>
              </w:rPr>
            </w:pPr>
            <w:r w:rsidRPr="00DC2FE9">
              <w:rPr>
                <w:rFonts w:ascii="Times New Roman" w:hAnsi="Times New Roman"/>
                <w:b/>
                <w:sz w:val="24"/>
                <w:u w:val="single"/>
                <w:lang w:val="bg-BG"/>
              </w:rPr>
              <w:t>Кредити и аванси</w:t>
            </w:r>
          </w:p>
          <w:p w14:paraId="1DF552E0"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„Кредити и аванси“ са държаните от институцията дългови инструменти, които не са ценни книжа. Тази позиция включва „кредитите“, както са определени в Регламент (ЕС) № 1071/2013 („Регламент на ЕЦБ за балансовите показатели“)</w:t>
            </w:r>
            <w:r w:rsidRPr="00DC2FE9">
              <w:rPr>
                <w:rStyle w:val="FootnoteReference"/>
                <w:rFonts w:ascii="Times New Roman" w:hAnsi="Times New Roman" w:cs="Times New Roman"/>
                <w:sz w:val="24"/>
                <w:lang w:val="bg-BG"/>
              </w:rPr>
              <w:footnoteReference w:id="2"/>
            </w:r>
            <w:r w:rsidRPr="00DC2FE9">
              <w:rPr>
                <w:rFonts w:ascii="Times New Roman" w:hAnsi="Times New Roman"/>
                <w:sz w:val="24"/>
                <w:lang w:val="bg-BG"/>
              </w:rPr>
              <w:t>, и авансите, които не могат да бъдат класифицирани като „кредити“ съгласно Регламента на ЕЦБ за балансовите показатели — както е посочено в част 1, точка 32 от приложение V към Регламент за изпълнение (ЕС) № 680/2014 на Комисията</w:t>
            </w:r>
            <w:r w:rsidRPr="00DC2FE9">
              <w:rPr>
                <w:rStyle w:val="FootnoteReference"/>
                <w:rFonts w:ascii="Times New Roman" w:hAnsi="Times New Roman" w:cs="Times New Roman"/>
                <w:sz w:val="24"/>
                <w:lang w:val="bg-BG"/>
              </w:rPr>
              <w:footnoteReference w:id="3"/>
            </w:r>
            <w:r w:rsidRPr="00DC2FE9">
              <w:rPr>
                <w:rFonts w:ascii="Times New Roman" w:hAnsi="Times New Roman"/>
                <w:sz w:val="24"/>
                <w:lang w:val="bg-BG"/>
              </w:rPr>
              <w:t>.</w:t>
            </w:r>
          </w:p>
        </w:tc>
      </w:tr>
      <w:tr w:rsidR="001A67EA" w:rsidRPr="00DC2FE9" w14:paraId="04E2555D" w14:textId="77777777" w:rsidTr="004F3087">
        <w:trPr>
          <w:trHeight w:val="843"/>
        </w:trPr>
        <w:tc>
          <w:tcPr>
            <w:tcW w:w="1363" w:type="dxa"/>
            <w:tcBorders>
              <w:top w:val="single" w:sz="4" w:space="0" w:color="auto"/>
              <w:left w:val="single" w:sz="4" w:space="0" w:color="auto"/>
              <w:right w:val="single" w:sz="4" w:space="0" w:color="auto"/>
            </w:tcBorders>
          </w:tcPr>
          <w:p w14:paraId="29CB77EA"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2</w:t>
            </w:r>
          </w:p>
        </w:tc>
        <w:tc>
          <w:tcPr>
            <w:tcW w:w="8266" w:type="dxa"/>
            <w:tcBorders>
              <w:top w:val="single" w:sz="4" w:space="0" w:color="auto"/>
              <w:left w:val="single" w:sz="4" w:space="0" w:color="auto"/>
              <w:right w:val="single" w:sz="4" w:space="0" w:color="auto"/>
            </w:tcBorders>
          </w:tcPr>
          <w:p w14:paraId="7DC4064C" w14:textId="77777777" w:rsidR="001A67EA" w:rsidRPr="00DC2FE9" w:rsidRDefault="001A67EA" w:rsidP="004F3087">
            <w:pPr>
              <w:spacing w:after="120"/>
              <w:jc w:val="both"/>
              <w:rPr>
                <w:rFonts w:ascii="Times New Roman" w:hAnsi="Times New Roman" w:cs="Times New Roman"/>
                <w:b/>
                <w:sz w:val="24"/>
                <w:u w:val="single"/>
                <w:lang w:val="bg-BG"/>
              </w:rPr>
            </w:pPr>
            <w:r w:rsidRPr="00DC2FE9">
              <w:rPr>
                <w:rFonts w:ascii="Times New Roman" w:hAnsi="Times New Roman"/>
                <w:b/>
                <w:sz w:val="24"/>
                <w:u w:val="single"/>
                <w:lang w:val="bg-BG"/>
              </w:rPr>
              <w:t>Дългови ценни книжа</w:t>
            </w:r>
          </w:p>
          <w:p w14:paraId="64329DF3"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Както е посочено в част 1, точка 31 от приложение V към Регламент за изпълнение (ЕС) № 680/2014 на Комисията, „дългови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tc>
      </w:tr>
      <w:tr w:rsidR="001A67EA" w:rsidRPr="00DC2FE9" w14:paraId="05FBC0A7" w14:textId="77777777" w:rsidTr="004F3087">
        <w:trPr>
          <w:trHeight w:val="843"/>
        </w:trPr>
        <w:tc>
          <w:tcPr>
            <w:tcW w:w="1363" w:type="dxa"/>
            <w:tcBorders>
              <w:top w:val="single" w:sz="4" w:space="0" w:color="auto"/>
              <w:left w:val="single" w:sz="4" w:space="0" w:color="auto"/>
              <w:right w:val="single" w:sz="4" w:space="0" w:color="auto"/>
            </w:tcBorders>
          </w:tcPr>
          <w:p w14:paraId="79F17B57"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3</w:t>
            </w:r>
          </w:p>
        </w:tc>
        <w:tc>
          <w:tcPr>
            <w:tcW w:w="8266" w:type="dxa"/>
            <w:tcBorders>
              <w:top w:val="single" w:sz="4" w:space="0" w:color="auto"/>
              <w:left w:val="single" w:sz="4" w:space="0" w:color="auto"/>
              <w:right w:val="single" w:sz="4" w:space="0" w:color="auto"/>
            </w:tcBorders>
          </w:tcPr>
          <w:p w14:paraId="4015BF67" w14:textId="77777777" w:rsidR="001A67EA" w:rsidRPr="00DC2FE9" w:rsidRDefault="001A67EA" w:rsidP="004F3087">
            <w:pPr>
              <w:spacing w:after="120"/>
              <w:jc w:val="both"/>
              <w:rPr>
                <w:rFonts w:ascii="Times New Roman" w:hAnsi="Times New Roman" w:cs="Times New Roman"/>
                <w:b/>
                <w:sz w:val="24"/>
                <w:u w:val="single"/>
                <w:lang w:val="bg-BG"/>
              </w:rPr>
            </w:pPr>
            <w:r w:rsidRPr="00DC2FE9">
              <w:rPr>
                <w:rFonts w:ascii="Times New Roman" w:hAnsi="Times New Roman"/>
                <w:b/>
                <w:sz w:val="24"/>
                <w:u w:val="single"/>
                <w:lang w:val="bg-BG"/>
              </w:rPr>
              <w:t>Общо</w:t>
            </w:r>
          </w:p>
          <w:p w14:paraId="1D5CA391"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Сбор на стойностите в редове 1 и 2 на настоящия образец</w:t>
            </w:r>
          </w:p>
        </w:tc>
      </w:tr>
      <w:tr w:rsidR="001A67EA" w:rsidRPr="00DC2FE9" w14:paraId="232D94F6" w14:textId="77777777" w:rsidTr="004F3087">
        <w:trPr>
          <w:trHeight w:val="843"/>
        </w:trPr>
        <w:tc>
          <w:tcPr>
            <w:tcW w:w="1363" w:type="dxa"/>
            <w:tcBorders>
              <w:top w:val="single" w:sz="4" w:space="0" w:color="auto"/>
              <w:left w:val="single" w:sz="4" w:space="0" w:color="auto"/>
              <w:right w:val="single" w:sz="4" w:space="0" w:color="auto"/>
            </w:tcBorders>
          </w:tcPr>
          <w:p w14:paraId="261A8B61"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lastRenderedPageBreak/>
              <w:t>4</w:t>
            </w:r>
          </w:p>
        </w:tc>
        <w:tc>
          <w:tcPr>
            <w:tcW w:w="8266" w:type="dxa"/>
            <w:tcBorders>
              <w:top w:val="single" w:sz="4" w:space="0" w:color="auto"/>
              <w:left w:val="single" w:sz="4" w:space="0" w:color="auto"/>
              <w:right w:val="single" w:sz="4" w:space="0" w:color="auto"/>
            </w:tcBorders>
          </w:tcPr>
          <w:p w14:paraId="6361D15E" w14:textId="77777777" w:rsidR="001A67EA" w:rsidRPr="00DC2FE9" w:rsidRDefault="001A67EA" w:rsidP="004F3087">
            <w:pPr>
              <w:spacing w:after="120"/>
              <w:jc w:val="both"/>
              <w:rPr>
                <w:rFonts w:ascii="Times New Roman" w:hAnsi="Times New Roman" w:cs="Times New Roman"/>
                <w:b/>
                <w:sz w:val="24"/>
                <w:u w:val="single"/>
                <w:lang w:val="bg-BG"/>
              </w:rPr>
            </w:pPr>
            <w:r w:rsidRPr="00DC2FE9">
              <w:rPr>
                <w:rFonts w:ascii="Times New Roman" w:hAnsi="Times New Roman"/>
                <w:b/>
                <w:sz w:val="24"/>
                <w:u w:val="single"/>
                <w:lang w:val="bg-BG"/>
              </w:rPr>
              <w:t>В т.ч. необслужвани експозиции</w:t>
            </w:r>
          </w:p>
          <w:p w14:paraId="3AA9E7C7"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Необслужваните експозиции съгласно член 47а от РКИ</w:t>
            </w:r>
          </w:p>
        </w:tc>
      </w:tr>
      <w:tr w:rsidR="001A67EA" w:rsidRPr="00DC2FE9" w14:paraId="1562F9C2" w14:textId="77777777" w:rsidTr="004F3087">
        <w:trPr>
          <w:trHeight w:val="843"/>
        </w:trPr>
        <w:tc>
          <w:tcPr>
            <w:tcW w:w="1363" w:type="dxa"/>
            <w:tcBorders>
              <w:top w:val="single" w:sz="4" w:space="0" w:color="auto"/>
              <w:left w:val="single" w:sz="4" w:space="0" w:color="auto"/>
              <w:right w:val="single" w:sz="4" w:space="0" w:color="auto"/>
            </w:tcBorders>
          </w:tcPr>
          <w:p w14:paraId="26B868C7"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EU-5</w:t>
            </w:r>
          </w:p>
        </w:tc>
        <w:tc>
          <w:tcPr>
            <w:tcW w:w="8266" w:type="dxa"/>
            <w:tcBorders>
              <w:top w:val="single" w:sz="4" w:space="0" w:color="auto"/>
              <w:left w:val="single" w:sz="4" w:space="0" w:color="auto"/>
              <w:right w:val="single" w:sz="4" w:space="0" w:color="auto"/>
            </w:tcBorders>
          </w:tcPr>
          <w:p w14:paraId="0B9851BE" w14:textId="77777777" w:rsidR="001A67EA" w:rsidRPr="00DC2FE9" w:rsidRDefault="001A67EA" w:rsidP="004F3087">
            <w:pPr>
              <w:spacing w:after="120"/>
              <w:jc w:val="both"/>
              <w:rPr>
                <w:rFonts w:ascii="Times New Roman" w:hAnsi="Times New Roman" w:cs="Times New Roman"/>
                <w:b/>
                <w:sz w:val="24"/>
                <w:u w:val="single"/>
                <w:lang w:val="bg-BG"/>
              </w:rPr>
            </w:pPr>
            <w:r w:rsidRPr="00DC2FE9">
              <w:rPr>
                <w:rFonts w:ascii="Times New Roman" w:hAnsi="Times New Roman"/>
                <w:b/>
                <w:sz w:val="24"/>
                <w:u w:val="single"/>
                <w:lang w:val="bg-BG"/>
              </w:rPr>
              <w:t>В т.ч. в неизпълнение</w:t>
            </w:r>
          </w:p>
          <w:p w14:paraId="6D84A962" w14:textId="77777777" w:rsidR="001A67EA" w:rsidRPr="00DC2FE9" w:rsidRDefault="001A67EA" w:rsidP="004F3087">
            <w:pPr>
              <w:spacing w:after="120"/>
              <w:jc w:val="both"/>
              <w:rPr>
                <w:rFonts w:ascii="Times New Roman" w:hAnsi="Times New Roman" w:cs="Times New Roman"/>
                <w:sz w:val="24"/>
                <w:lang w:val="bg-BG"/>
              </w:rPr>
            </w:pPr>
            <w:r w:rsidRPr="00DC2FE9">
              <w:rPr>
                <w:rFonts w:ascii="Times New Roman" w:hAnsi="Times New Roman"/>
                <w:sz w:val="24"/>
                <w:lang w:val="bg-BG"/>
              </w:rPr>
              <w:t>Експозициите в неизпълнение съгласно член 178 от РКИ.</w:t>
            </w:r>
          </w:p>
        </w:tc>
      </w:tr>
    </w:tbl>
    <w:p w14:paraId="11144359" w14:textId="77777777" w:rsidR="001A67EA" w:rsidRPr="00DC2FE9" w:rsidRDefault="001A67EA" w:rsidP="001A67EA">
      <w:pPr>
        <w:spacing w:after="120"/>
        <w:rPr>
          <w:rFonts w:ascii="Times New Roman" w:hAnsi="Times New Roman" w:cs="Times New Roman"/>
          <w:sz w:val="24"/>
          <w:highlight w:val="yellow"/>
        </w:rPr>
      </w:pPr>
    </w:p>
    <w:p w14:paraId="516865D4" w14:textId="77777777" w:rsidR="001A67EA" w:rsidRPr="00DC2FE9" w:rsidRDefault="001A67EA" w:rsidP="001A67EA">
      <w:pPr>
        <w:spacing w:after="120"/>
        <w:rPr>
          <w:rFonts w:ascii="Times New Roman" w:hAnsi="Times New Roman" w:cs="Times New Roman"/>
          <w:sz w:val="24"/>
          <w:highlight w:val="yellow"/>
        </w:rPr>
      </w:pPr>
    </w:p>
    <w:p w14:paraId="2D174E35" w14:textId="77777777" w:rsidR="00993FC2" w:rsidRPr="00DC2FE9" w:rsidRDefault="00993FC2" w:rsidP="001A67EA"/>
    <w:sectPr w:rsidR="00993FC2" w:rsidRPr="00DC2FE9">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16F" w14:textId="77777777" w:rsidR="00FE2307" w:rsidRDefault="00FE2307" w:rsidP="001A67EA">
      <w:r>
        <w:separator/>
      </w:r>
    </w:p>
  </w:endnote>
  <w:endnote w:type="continuationSeparator" w:id="0">
    <w:p w14:paraId="6DA24895" w14:textId="77777777" w:rsidR="00FE2307" w:rsidRDefault="00FE2307" w:rsidP="001A6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856962"/>
      <w:docPartObj>
        <w:docPartGallery w:val="Page Numbers (Bottom of Page)"/>
        <w:docPartUnique/>
      </w:docPartObj>
    </w:sdtPr>
    <w:sdtEndPr>
      <w:rPr>
        <w:noProof/>
      </w:rPr>
    </w:sdtEndPr>
    <w:sdtContent>
      <w:p w14:paraId="4DF45D7D" w14:textId="77777777" w:rsidR="001A67EA" w:rsidRDefault="001A67EA">
        <w:pPr>
          <w:pStyle w:val="Footer"/>
          <w:jc w:val="right"/>
        </w:pPr>
        <w:r>
          <w:fldChar w:fldCharType="begin"/>
        </w:r>
        <w:r>
          <w:instrText xml:space="preserve"> PAGE   \* MERGEFORMAT </w:instrText>
        </w:r>
        <w:r>
          <w:fldChar w:fldCharType="separate"/>
        </w:r>
        <w:r>
          <w:t>4</w:t>
        </w:r>
        <w:r>
          <w:fldChar w:fldCharType="end"/>
        </w:r>
      </w:p>
    </w:sdtContent>
  </w:sdt>
  <w:p w14:paraId="32B367C4" w14:textId="77777777" w:rsidR="001A67EA" w:rsidRDefault="001A6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ED53A" w14:textId="77777777" w:rsidR="00FE2307" w:rsidRDefault="00FE2307" w:rsidP="001A67EA">
      <w:r>
        <w:separator/>
      </w:r>
    </w:p>
  </w:footnote>
  <w:footnote w:type="continuationSeparator" w:id="0">
    <w:p w14:paraId="308DFB3F" w14:textId="77777777" w:rsidR="00FE2307" w:rsidRDefault="00FE2307" w:rsidP="001A67EA">
      <w:r>
        <w:continuationSeparator/>
      </w:r>
    </w:p>
  </w:footnote>
  <w:footnote w:id="1">
    <w:p w14:paraId="46EBDC9A" w14:textId="0643DC4B" w:rsidR="001A67EA" w:rsidRPr="00222AAB" w:rsidRDefault="001A67EA" w:rsidP="001A67EA">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 w:id="2">
    <w:p w14:paraId="617AD8C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Регламент (ЕС) № 1071/2013 на Европейската централна банка от 24 септември 2013 г. относно баланса на сектор „Парично-финансови институции“ (ЕЦБ/2013/33) ( ОВ L 297, 7.11.2013 г., стр. 1).</w:t>
      </w:r>
    </w:p>
  </w:footnote>
  <w:footnote w:id="3">
    <w:p w14:paraId="40DC675F" w14:textId="77777777" w:rsidR="001A67EA" w:rsidRPr="00222AAB" w:rsidRDefault="001A67EA" w:rsidP="001A67EA">
      <w:pPr>
        <w:pStyle w:val="FootnoteText"/>
        <w:rPr>
          <w:rFonts w:cstheme="minorHAnsi"/>
        </w:rPr>
      </w:pPr>
      <w:r>
        <w:rPr>
          <w:rStyle w:val="FootnoteReference"/>
          <w:rFonts w:cstheme="minorHAnsi"/>
        </w:rPr>
        <w:footnoteRef/>
      </w:r>
      <w:r>
        <w:t xml:space="preserve"> </w:t>
      </w:r>
      <w:r>
        <w:tab/>
      </w:r>
      <w:r>
        <w:t>Регламент за изпълнение (ЕС) № 680/2014 на Комисията от 16 април 2014 г.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 (ОВ L 191, 28.6.2014 г., стp.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D94" w14:textId="0D45C6BA" w:rsidR="00D03F87" w:rsidRDefault="00D03F87">
    <w:pPr>
      <w:pStyle w:val="Header"/>
    </w:pPr>
    <w:r>
      <w:rPr>
        <w:noProof/>
      </w:rPr>
      <mc:AlternateContent>
        <mc:Choice Requires="wps">
          <w:drawing>
            <wp:anchor distT="0" distB="0" distL="0" distR="0" simplePos="0" relativeHeight="251659264" behindDoc="0" locked="0" layoutInCell="1" allowOverlap="1" wp14:anchorId="48E57A27" wp14:editId="38EFA058">
              <wp:simplePos x="635" y="635"/>
              <wp:positionH relativeFrom="page">
                <wp:align>left</wp:align>
              </wp:positionH>
              <wp:positionV relativeFrom="page">
                <wp:align>top</wp:align>
              </wp:positionV>
              <wp:extent cx="1273175" cy="376555"/>
              <wp:effectExtent l="0" t="0" r="3175" b="4445"/>
              <wp:wrapNone/>
              <wp:docPr id="151119280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8E57A27"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CF14E2E" w14:textId="6051178C"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84A0" w14:textId="4D7564CB" w:rsidR="00D03F87" w:rsidRDefault="00D03F87">
    <w:pPr>
      <w:pStyle w:val="Header"/>
    </w:pPr>
    <w:r>
      <w:rPr>
        <w:noProof/>
      </w:rPr>
      <mc:AlternateContent>
        <mc:Choice Requires="wps">
          <w:drawing>
            <wp:anchor distT="0" distB="0" distL="0" distR="0" simplePos="0" relativeHeight="251660288" behindDoc="0" locked="0" layoutInCell="1" allowOverlap="1" wp14:anchorId="2BA8A8F2" wp14:editId="73F2E6A4">
              <wp:simplePos x="914400" y="447675"/>
              <wp:positionH relativeFrom="page">
                <wp:align>left</wp:align>
              </wp:positionH>
              <wp:positionV relativeFrom="page">
                <wp:align>top</wp:align>
              </wp:positionV>
              <wp:extent cx="1273175" cy="376555"/>
              <wp:effectExtent l="0" t="0" r="3175" b="4445"/>
              <wp:wrapNone/>
              <wp:docPr id="55196680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A8A8F2"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B33A51A" w14:textId="77519130"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2360" w14:textId="228A2E9F" w:rsidR="00D03F87" w:rsidRDefault="00D03F87">
    <w:pPr>
      <w:pStyle w:val="Header"/>
    </w:pPr>
    <w:r>
      <w:rPr>
        <w:noProof/>
      </w:rPr>
      <mc:AlternateContent>
        <mc:Choice Requires="wps">
          <w:drawing>
            <wp:anchor distT="0" distB="0" distL="0" distR="0" simplePos="0" relativeHeight="251658240" behindDoc="0" locked="0" layoutInCell="1" allowOverlap="1" wp14:anchorId="2A2B5F7B" wp14:editId="256233AA">
              <wp:simplePos x="635" y="635"/>
              <wp:positionH relativeFrom="page">
                <wp:align>left</wp:align>
              </wp:positionH>
              <wp:positionV relativeFrom="page">
                <wp:align>top</wp:align>
              </wp:positionV>
              <wp:extent cx="1273175" cy="376555"/>
              <wp:effectExtent l="0" t="0" r="3175" b="4445"/>
              <wp:wrapNone/>
              <wp:docPr id="41351279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A2B5F7B"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295F4275" w14:textId="46855021" w:rsidR="00D03F87" w:rsidRPr="00D03F87" w:rsidRDefault="00D03F87" w:rsidP="00D03F87">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82C49"/>
    <w:rsid w:val="001A67EA"/>
    <w:rsid w:val="00382C49"/>
    <w:rsid w:val="004E6337"/>
    <w:rsid w:val="00993FC2"/>
    <w:rsid w:val="00CA68B1"/>
    <w:rsid w:val="00D03F87"/>
    <w:rsid w:val="00DC2FE9"/>
    <w:rsid w:val="00FE2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B00"/>
  <w15:chartTrackingRefBased/>
  <w15:docId w15:val="{10B9F566-ECEB-472F-BF93-6D8F7AA9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EA"/>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1A67EA"/>
    <w:rPr>
      <w:rFonts w:eastAsiaTheme="minorEastAsia"/>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1A67EA"/>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1A67EA"/>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1A67EA"/>
    <w:rPr>
      <w:rFonts w:asciiTheme="minorHAnsi" w:hAnsiTheme="minorHAnsi"/>
      <w:sz w:val="22"/>
      <w:szCs w:val="18"/>
      <w:vertAlign w:val="superscript"/>
    </w:rPr>
  </w:style>
  <w:style w:type="character" w:styleId="Hyperlink">
    <w:name w:val="Hyperlink"/>
    <w:basedOn w:val="DefaultParagraphFont"/>
    <w:uiPriority w:val="99"/>
    <w:rsid w:val="001A67EA"/>
    <w:rPr>
      <w:color w:val="0563C1" w:themeColor="hyperlink"/>
      <w:u w:val="single"/>
    </w:rPr>
  </w:style>
  <w:style w:type="paragraph" w:customStyle="1" w:styleId="Annexetitre">
    <w:name w:val="Annexe titre"/>
    <w:basedOn w:val="Normal"/>
    <w:next w:val="Normal"/>
    <w:rsid w:val="001A67EA"/>
    <w:pPr>
      <w:spacing w:before="120" w:after="120"/>
      <w:jc w:val="center"/>
    </w:pPr>
    <w:rPr>
      <w:rFonts w:ascii="Times New Roman" w:eastAsia="Times New Roman" w:hAnsi="Times New Roman" w:cs="Times New Roman"/>
      <w:b/>
      <w:sz w:val="24"/>
      <w:u w:val="single"/>
    </w:rPr>
  </w:style>
  <w:style w:type="table" w:styleId="TableProfessional">
    <w:name w:val="Table Professional"/>
    <w:basedOn w:val="TableNormal"/>
    <w:uiPriority w:val="99"/>
    <w:semiHidden/>
    <w:unhideWhenUsed/>
    <w:rsid w:val="001A67EA"/>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1A67EA"/>
    <w:pPr>
      <w:tabs>
        <w:tab w:val="center" w:pos="4513"/>
        <w:tab w:val="right" w:pos="9026"/>
      </w:tabs>
    </w:pPr>
  </w:style>
  <w:style w:type="character" w:customStyle="1" w:styleId="HeaderChar">
    <w:name w:val="Header Char"/>
    <w:basedOn w:val="DefaultParagraphFont"/>
    <w:link w:val="Header"/>
    <w:uiPriority w:val="99"/>
    <w:rsid w:val="001A67EA"/>
    <w:rPr>
      <w:rFonts w:eastAsiaTheme="minorEastAsia"/>
      <w:szCs w:val="24"/>
    </w:rPr>
  </w:style>
  <w:style w:type="paragraph" w:styleId="Footer">
    <w:name w:val="footer"/>
    <w:basedOn w:val="Normal"/>
    <w:link w:val="FooterChar"/>
    <w:uiPriority w:val="99"/>
    <w:unhideWhenUsed/>
    <w:rsid w:val="001A67EA"/>
    <w:pPr>
      <w:tabs>
        <w:tab w:val="center" w:pos="4513"/>
        <w:tab w:val="right" w:pos="9026"/>
      </w:tabs>
    </w:pPr>
  </w:style>
  <w:style w:type="character" w:customStyle="1" w:styleId="FooterChar">
    <w:name w:val="Footer Char"/>
    <w:basedOn w:val="DefaultParagraphFont"/>
    <w:link w:val="Footer"/>
    <w:uiPriority w:val="99"/>
    <w:rsid w:val="001A67EA"/>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D9798-4757-483B-A8DE-47CB0BD8BB42}"/>
</file>

<file path=customXml/itemProps2.xml><?xml version="1.0" encoding="utf-8"?>
<ds:datastoreItem xmlns:ds="http://schemas.openxmlformats.org/officeDocument/2006/customXml" ds:itemID="{0E7162A1-BE94-4721-9791-C6346CD1C57E}"/>
</file>

<file path=customXml/itemProps3.xml><?xml version="1.0" encoding="utf-8"?>
<ds:datastoreItem xmlns:ds="http://schemas.openxmlformats.org/officeDocument/2006/customXml" ds:itemID="{D9D7E62A-2A36-425F-8F1E-6C93CB80B674}"/>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1380</Words>
  <Characters>8158</Characters>
  <Application>Microsoft Office Word</Application>
  <DocSecurity>0</DocSecurity>
  <Lines>220</Lines>
  <Paragraphs>80</Paragraphs>
  <ScaleCrop>false</ScaleCrop>
  <Company>European Banking Authority</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KOEV Kamen Krasimirov (DGT)</cp:lastModifiedBy>
  <cp:revision>5</cp:revision>
  <dcterms:created xsi:type="dcterms:W3CDTF">2021-03-11T13:17:00Z</dcterms:created>
  <dcterms:modified xsi:type="dcterms:W3CDTF">2024-10-18T09:38:00Z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18a5b45c,5a12f8e1,20e65855</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2024-09-26T15:08:54Z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70db11ff-dbab-49fe-8b5a-723b3ae89617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